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580"/>
      </w:tblGrid>
      <w:tr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8" w:type="dxa"/>
              <w:end w:w="0" w:type="dxa"/>
            </w:tcMar>
          </w:tcPr>
          <w:p>
            <w:pPr>
              <w:spacing w:before="0" w:after="20" w:line="240" w:lineRule="auto"/>
              <w:ind w:left="0"/>
            </w:pPr>
            <w:r>
              <w:rPr>
                <w:rFonts w:ascii="Cambria" w:hAnsi="Cambria" w:eastAsia="Cambria"/>
                <w:b/>
                <w:i w:val="0"/>
                <w:sz w:val="40"/>
              </w:rPr>
              <w:t>АРСЕНИЙ ГУЩИН</w:t>
            </w:r>
            <w:r>
              <w:rPr>
                <w:rFonts w:ascii="Cambria" w:hAnsi="Cambria" w:eastAsia="Cambria"/>
                <w:b w:val="0"/>
                <w:i w:val="0"/>
                <w:sz w:val="22"/>
              </w:rPr>
              <w:t xml:space="preserve">   CPO — Customer Growth, Data &amp; AI</w:t>
            </w:r>
          </w:p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>+7 926 762-50-64 · arsen.gushin@gmail.com · t.me/arseniyg · Москва</w:t>
            </w:r>
          </w:p>
        </w:tc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8" w:type="dxa"/>
              <w:end w:w="0" w:type="dxa"/>
            </w:tcMar>
          </w:tcPr>
          <w:p>
            <w:pPr>
              <w:spacing w:before="0" w:after="2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МГУПИ · 2006</w:t>
            </w:r>
          </w:p>
          <w:p>
            <w:pPr>
              <w:spacing w:before="0" w:after="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English — Advanced</w:t>
            </w:r>
          </w:p>
        </w:tc>
      </w:tr>
    </w:tbl>
    <w:p>
      <w:pPr>
        <w:keepNext/>
        <w:spacing w:before="160" w:after="60" w:line="240" w:lineRule="auto"/>
        <w:ind w:left="0"/>
        <w:pBdr>
          <w:bottom w:val="single" w:sz="5" w:space="3" w:color="808080"/>
        </w:pBdr>
      </w:pPr>
      <w:r>
        <w:rPr>
          <w:rFonts w:ascii="Cambria" w:hAnsi="Cambria" w:eastAsia="Cambria"/>
          <w:b/>
          <w:i w:val="0"/>
          <w:sz w:val="27"/>
        </w:rPr>
        <w:t>Профиль</w:t>
      </w:r>
    </w:p>
    <w:p>
      <w:pPr>
        <w:spacing w:before="0" w:after="60" w:line="252" w:lineRule="auto"/>
        <w:ind w:left="0"/>
      </w:pPr>
      <w:r>
        <w:rPr>
          <w:rFonts w:ascii="Cambria" w:hAnsi="Cambria" w:eastAsia="Cambria"/>
          <w:b w:val="0"/>
          <w:i w:val="0"/>
          <w:sz w:val="20"/>
        </w:rPr>
        <w:t>Продуктовый лидер с опытом роста выручки и удержания через customer growth, CRM/CVM, data-платформы и AI-автоматизацию. Строю продукты, в которых клиентская база, ML/AI и customer journey превращаются в измеримый P&amp;L-эффект: рост CLTV, снижение cost-to-serve и более быстрый time-to-market.</w:t>
      </w:r>
    </w:p>
    <w:p>
      <w:pPr>
        <w:spacing w:before="0" w:after="60" w:line="252" w:lineRule="auto"/>
        <w:ind w:left="0"/>
      </w:pPr>
      <w:r>
        <w:rPr>
          <w:rFonts w:ascii="Cambria" w:hAnsi="Cambria" w:eastAsia="Cambria"/>
          <w:b w:val="0"/>
          <w:i w:val="0"/>
          <w:sz w:val="20"/>
        </w:rPr>
        <w:t>Управлял портфелями для базы до 54 млн клиентов, командами до 120 человек и бюджетами 500+ млн руб. в год. Умею защищать стратегию и инвестиции перед C-level/советом, принимать build-vs-buy решения через TTV, TCO и риск, а затем доводить платформы до adoption у бизнеса.</w:t>
      </w:r>
    </w:p>
    <w:p>
      <w:pPr>
        <w:keepNext/>
        <w:spacing w:before="160" w:after="60" w:line="240" w:lineRule="auto"/>
        <w:ind w:left="0"/>
        <w:pBdr>
          <w:bottom w:val="single" w:sz="5" w:space="3" w:color="808080"/>
        </w:pBdr>
      </w:pPr>
      <w:r>
        <w:rPr>
          <w:rFonts w:ascii="Cambria" w:hAnsi="Cambria" w:eastAsia="Cambria"/>
          <w:b/>
          <w:i w:val="0"/>
          <w:sz w:val="27"/>
        </w:rPr>
        <w:t>Ключевые компетенции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504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Стратегия портфеля, P&amp;L, customer growth, CLTV и retention</w:t>
            </w:r>
          </w:p>
        </w:tc>
        <w:tc>
          <w:tcPr>
            <w:tcW w:type="dxa" w:w="513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Data platforms: CDP/MDM/Feature Store; build vs buy</w:t>
            </w:r>
          </w:p>
        </w:tc>
      </w:tr>
      <w:tr>
        <w:tc>
          <w:tcPr>
            <w:tcW w:type="dxa" w:w="504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CRM/CVM: сегментация, contact policy, uplift, Next Best Action</w:t>
            </w:r>
          </w:p>
        </w:tc>
        <w:tc>
          <w:tcPr>
            <w:tcW w:type="dxa" w:w="513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AI в сервисе и SDLC: RAG, self-service, copilots, метрики эффекта</w:t>
            </w:r>
          </w:p>
        </w:tc>
      </w:tr>
      <w:tr>
        <w:tc>
          <w:tcPr>
            <w:tcW w:type="dxa" w:w="504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Discovery: CustDev, A/B-тесты, unit-экономика, HADI-циклы</w:t>
            </w:r>
          </w:p>
        </w:tc>
        <w:tc>
          <w:tcPr>
            <w:tcW w:type="dxa" w:w="513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4" w:type="dxa"/>
              <w:end w:w="80" w:type="dxa"/>
            </w:tcMar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sz w:val="19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19"/>
              </w:rPr>
              <w:t>C-level stakeholder management: IT, data, legal, security, vendors</w:t>
            </w:r>
          </w:p>
        </w:tc>
      </w:tr>
    </w:tbl>
    <w:p>
      <w:pPr>
        <w:keepNext/>
        <w:spacing w:before="160" w:after="60" w:line="240" w:lineRule="auto"/>
        <w:ind w:left="0"/>
        <w:pBdr>
          <w:bottom w:val="single" w:sz="5" w:space="3" w:color="808080"/>
        </w:pBdr>
      </w:pPr>
      <w:r>
        <w:rPr>
          <w:rFonts w:ascii="Cambria" w:hAnsi="Cambria" w:eastAsia="Cambria"/>
          <w:b/>
          <w:i w:val="0"/>
          <w:sz w:val="27"/>
        </w:rPr>
        <w:t>Опыт работы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91"/>
        <w:gridCol w:w="1786"/>
      </w:tblGrid>
      <w:tr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/>
                <w:i w:val="0"/>
                <w:sz w:val="21"/>
              </w:rPr>
              <w:t>Chief Product Officer, клиентские платформы и Customer Care</w:t>
            </w:r>
          </w:p>
          <w:p>
            <w:pPr>
              <w:spacing w:before="0" w:after="20" w:line="240" w:lineRule="auto"/>
              <w:ind w:left="0"/>
            </w:pPr>
            <w:r>
              <w:rPr>
                <w:rFonts w:ascii="Cambria" w:hAnsi="Cambria" w:eastAsia="Cambria"/>
                <w:b w:val="0"/>
                <w:i/>
                <w:sz w:val="19"/>
              </w:rPr>
              <w:t>СОГАЗ · Единый профиль клиента, customer care и AI/self-service как основа сервиса, продаж и персонализации</w:t>
            </w:r>
          </w:p>
          <w:p>
            <w:pPr>
              <w:spacing w:before="0" w:after="4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color w:val="505050"/>
                <w:sz w:val="19"/>
              </w:rPr>
              <w:t>30 млн активных клиентов · команда 10 человек · бюджет ~30 млн руб./год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Запустил подписочную страховую линию: подписан первый контракт; потенциал новой линии — ~2 млрд руб. дополнительной выручки. Разработал платформу и бизнес-процессы за две недели вместо монолитного решения.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Запустил Единый профиль клиента / golden record: промышленная MDM за 3 месяца вместо планировавшихся 1,5 лет. Объединил клиентский контекст для продаж, сервиса, мобильного приложения и персонализации; дубли физлиц 40% → 7% за 30 дней.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Перестроил customer care: self-service 15% → 45%+, FCR 36% → 55%, Service Level 40% → 70%, стоимость обработки обращения −30%, ФОТ функции −27%. Запустил LLM/RAG-чатбот, smart IVR и AI-copilot оператора.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Расширил адресуемую базу коммуникаций более чем в 10 раз через единый сервис согласий и CV-обработку архива. Потенциал инкрементальной выручки от коммуникаций — ~100 млн руб.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Внедрил локальные LLM-инструменты в SDLC внутри защищённого контура; скорость разработки клиентских stories выросла в среднем в 3 раза — с месяца до недели.</w:t>
            </w:r>
          </w:p>
        </w:tc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Май 2025 —</w:t>
              <w:br/>
              <w:t>Июнь 2026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91"/>
        <w:gridCol w:w="1786"/>
      </w:tblGrid>
      <w:tr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/>
                <w:i w:val="0"/>
                <w:sz w:val="21"/>
              </w:rPr>
              <w:t>Chief Product Officer, клиентские данные и CVM</w:t>
            </w:r>
          </w:p>
          <w:p>
            <w:pPr>
              <w:spacing w:before="0" w:after="20" w:line="240" w:lineRule="auto"/>
              <w:ind w:left="0"/>
            </w:pPr>
            <w:r>
              <w:rPr>
                <w:rFonts w:ascii="Cambria" w:hAnsi="Cambria" w:eastAsia="Cambria"/>
                <w:b w:val="0"/>
                <w:i/>
                <w:sz w:val="19"/>
              </w:rPr>
              <w:t>Билайн · Портфель customer-data продуктов для роста CLTV, персонализации и управления качеством данных</w:t>
            </w:r>
          </w:p>
          <w:p>
            <w:pPr>
              <w:spacing w:before="0" w:after="4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color w:val="505050"/>
                <w:sz w:val="19"/>
              </w:rPr>
              <w:t>54 млн клиентов · команда до 120 человек · бюджет 500+ млн руб./год · 200+ внутренних потребителей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Управлял Unified Customer Profile, Feature Store, Analytical Profile, data quality и contact policy. Запустил единый профиль для всей базы из ~200 источников; около 50 продуктовых команд прошли реальную миграцию на платформу.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Выделил Feature Store в самостоятельный продукт: 2 500+ ML-фич, TTM DS/ML-моделей 1–2 месяца → 3–4 дня; одновременно в работе 10–15 моделей вместо единиц.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Сократил ~10 млн коммуникаций в месяц без потери выручки; uplift в целевых сегментах — до +46%. Снизил просроченную задолженность на 36% за счёт улучшения contactability через golden record.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Защитил buy-решения по MDM и API-слою через TTV/TCO/risk; сэкономил до года разработки на MDM и около шести месяцев на API-слое. Перевёл delivery в кросс-функциональные доменные команды: релизы 2–3 месяца → 2–3 недели.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Внедрил CLTV как сквозную логику решений и KPI: от сегментации и кампаний до приоритизации продуктового портфеля.</w:t>
            </w:r>
          </w:p>
        </w:tc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Октябрь 2022 —</w:t>
              <w:br/>
              <w:t>Декабрь 2024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91"/>
        <w:gridCol w:w="1786"/>
      </w:tblGrid>
      <w:tr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/>
                <w:i w:val="0"/>
                <w:sz w:val="21"/>
              </w:rPr>
              <w:t>Директор по CVM и клиентскому опыту</w:t>
            </w:r>
          </w:p>
          <w:p>
            <w:pPr>
              <w:spacing w:before="0" w:after="20" w:line="240" w:lineRule="auto"/>
              <w:ind w:left="0"/>
            </w:pPr>
            <w:r>
              <w:rPr>
                <w:rFonts w:ascii="Cambria" w:hAnsi="Cambria" w:eastAsia="Cambria"/>
                <w:b w:val="0"/>
                <w:i/>
                <w:sz w:val="19"/>
              </w:rPr>
              <w:t>Simple / SimpleWine · CRM-выручка, loyalty, lifecycle, партнёрские каналы, клиентская аналитика и сервис</w:t>
            </w:r>
          </w:p>
          <w:p>
            <w:pPr>
              <w:spacing w:before="0" w:after="4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color w:val="505050"/>
                <w:sz w:val="19"/>
              </w:rPr>
              <w:t>~300 тыс. активных B2C-клиентов · команда до 23 человек · CRM-бюджет 12–15 млн руб./год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Построил CRM-функцию с нуля: Mindbox, единый профиль, аналитический контур LTV/churn/promo-sensitivity, ROMI и инкрементальная выручка. CRM-contribution N/A → 15% выручки в первый год и 23–25% во второй.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Перезапустил loyalty и управление VIP-сегментом: retention общей B2C-базы 53% → 55% YoY; в ключевых тирах удержание выросло до +20% / +50%.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Запустил партнёрский канал до 20% новых клиентов. Остановил политически значимое, но убыточное партнёрство со СберСпасибо после пилота и проверки unit-экономики.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Автоматизировал сервис и реактивацию: AI-робот дал +15% трафика в винотеки против живых обзвонов; Telegram-бот снизил нагрузку поддержки по статусам заказов на 20%.</w:t>
            </w:r>
          </w:p>
        </w:tc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Март 2021 —</w:t>
              <w:br/>
              <w:t>Сентябрь 2022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91"/>
        <w:gridCol w:w="1786"/>
      </w:tblGrid>
      <w:tr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</w:pPr>
            <w:r>
              <w:rPr>
                <w:rFonts w:ascii="Cambria" w:hAnsi="Cambria" w:eastAsia="Cambria"/>
                <w:b/>
                <w:i w:val="0"/>
                <w:sz w:val="21"/>
              </w:rPr>
              <w:t>Head of CRM, Loyalty &amp; Customer Service</w:t>
            </w:r>
          </w:p>
          <w:p>
            <w:pPr>
              <w:spacing w:before="0" w:after="20" w:line="240" w:lineRule="auto"/>
              <w:ind w:left="0"/>
            </w:pPr>
            <w:r>
              <w:rPr>
                <w:rFonts w:ascii="Cambria" w:hAnsi="Cambria" w:eastAsia="Cambria"/>
                <w:b w:val="0"/>
                <w:i/>
                <w:sz w:val="19"/>
              </w:rPr>
              <w:t>Sephora / Иль де Ботэ · Удержание клиентской базы и омниканальный опыт в период трансформации сети</w:t>
            </w:r>
          </w:p>
          <w:p>
            <w:pPr>
              <w:spacing w:before="0" w:after="40" w:line="240" w:lineRule="auto"/>
              <w:ind w:left="0"/>
            </w:pPr>
            <w:r>
              <w:rPr>
                <w:rFonts w:ascii="Cambria" w:hAnsi="Cambria" w:eastAsia="Cambria"/>
                <w:b w:val="0"/>
                <w:i w:val="0"/>
                <w:color w:val="505050"/>
                <w:sz w:val="19"/>
              </w:rPr>
              <w:t>~500 тыс. клиентов · команда до 15 человек · CRM-зона влияния — до 25% оборота сети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Построил CRM, loyalty и клиентскую аналитику в период миграции Иль де Ботэ в Sephora; retention вырос на +15% в первый год и до +20% YoY, FCR удвоен, NPS +4 п.п.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Защитил перед HQ в Париже локальный CDP Mindbox и loyalty engine Sellplay вместо legacy-решения; дал бизнесу скорость локальных интеграций и развития механик.</w:t>
            </w:r>
          </w:p>
          <w:p>
            <w:pPr>
              <w:spacing w:before="0" w:after="20" w:line="245" w:lineRule="auto"/>
              <w:ind w:left="215" w:hanging="159"/>
            </w:pPr>
            <w:r>
              <w:rPr>
                <w:rFonts w:ascii="Cambria" w:hAnsi="Cambria" w:eastAsia="Cambria"/>
                <w:b w:val="0"/>
                <w:i w:val="0"/>
                <w:sz w:val="20"/>
              </w:rPr>
              <w:t xml:space="preserve">• </w:t>
            </w:r>
            <w:r>
              <w:rPr>
                <w:rFonts w:ascii="Cambria" w:hAnsi="Cambria" w:eastAsia="Cambria"/>
                <w:b w:val="0"/>
                <w:i w:val="0"/>
                <w:sz w:val="20"/>
              </w:rPr>
              <w:t>Через CustDev сохранил наиболее ценный сегмент при ребрендинге: вернул брендовых консультантов в приоритетные магазины. Рост омниканальных покупателей — +6 п.п.</w:t>
            </w:r>
          </w:p>
        </w:tc>
        <w:tc>
          <w:tcPr>
            <w:tcW w:type="dxa" w:w="535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10" w:type="dxa"/>
              <w:end w:w="0" w:type="dxa"/>
            </w:tcMar>
            <w:vAlign w:val="top"/>
          </w:tcPr>
          <w:p>
            <w:pPr>
              <w:spacing w:before="0" w:after="0" w:line="240" w:lineRule="auto"/>
              <w:ind w:left="0"/>
              <w:jc w:val="right"/>
            </w:pPr>
            <w:r>
              <w:rPr>
                <w:rFonts w:ascii="Cambria" w:hAnsi="Cambria" w:eastAsia="Cambria"/>
                <w:b w:val="0"/>
                <w:i w:val="0"/>
                <w:sz w:val="18"/>
              </w:rPr>
              <w:t>Февраль 2019 —</w:t>
              <w:br/>
              <w:t>Март 2021</w:t>
            </w:r>
          </w:p>
        </w:tc>
      </w:tr>
    </w:tbl>
    <w:p>
      <w:pPr>
        <w:keepNext/>
        <w:spacing w:before="160" w:after="60" w:line="240" w:lineRule="auto"/>
        <w:ind w:left="0"/>
        <w:pBdr>
          <w:bottom w:val="single" w:sz="5" w:space="3" w:color="808080"/>
        </w:pBdr>
      </w:pPr>
      <w:r>
        <w:rPr>
          <w:rFonts w:ascii="Cambria" w:hAnsi="Cambria" w:eastAsia="Cambria"/>
          <w:b/>
          <w:i w:val="0"/>
          <w:sz w:val="27"/>
        </w:rPr>
        <w:t>Ранний опыт</w:t>
      </w:r>
    </w:p>
    <w:p>
      <w:pPr>
        <w:keepNext/>
        <w:spacing w:before="60" w:after="20" w:line="245" w:lineRule="auto"/>
        <w:ind w:left="0"/>
      </w:pPr>
      <w:r>
        <w:rPr>
          <w:rFonts w:ascii="Cambria" w:hAnsi="Cambria" w:eastAsia="Cambria"/>
          <w:b/>
          <w:i w:val="0"/>
          <w:sz w:val="20"/>
        </w:rPr>
        <w:t>Account Director / де-факто генеральный директор РФ</w:t>
      </w:r>
      <w:r>
        <w:rPr>
          <w:rFonts w:ascii="Cambria" w:hAnsi="Cambria" w:eastAsia="Cambria"/>
          <w:b w:val="0"/>
          <w:i/>
          <w:sz w:val="19"/>
        </w:rPr>
        <w:t xml:space="preserve">  |  LOYALME  |  2014–2019</w:t>
      </w:r>
    </w:p>
    <w:p>
      <w:pPr>
        <w:spacing w:before="0" w:after="40" w:line="245" w:lineRule="auto"/>
        <w:ind w:left="0"/>
      </w:pPr>
      <w:r>
        <w:rPr>
          <w:rFonts w:ascii="Cambria" w:hAnsi="Cambria" w:eastAsia="Cambria"/>
          <w:b w:val="0"/>
          <w:i w:val="0"/>
          <w:sz w:val="19"/>
        </w:rPr>
        <w:t>Развил CRM/loyalty-агентство: выручка ×6–10, клиентская база 1 → 22, команда 3 → 25. Отвечал за продажи, delivery, P&amp;L, HR и юридический контур. Собственная SaaS-платформа кампейнинга и лояльности продана с исходным кодом партнёрам в Ливане.</w:t>
      </w:r>
    </w:p>
    <w:p>
      <w:pPr>
        <w:keepNext/>
        <w:spacing w:before="60" w:after="20" w:line="245" w:lineRule="auto"/>
        <w:ind w:left="0"/>
      </w:pPr>
      <w:r>
        <w:rPr>
          <w:rFonts w:ascii="Cambria" w:hAnsi="Cambria" w:eastAsia="Cambria"/>
          <w:b/>
          <w:i w:val="0"/>
          <w:sz w:val="20"/>
        </w:rPr>
        <w:t>Менеджер по развитию бизнеса</w:t>
      </w:r>
      <w:r>
        <w:rPr>
          <w:rFonts w:ascii="Cambria" w:hAnsi="Cambria" w:eastAsia="Cambria"/>
          <w:b w:val="0"/>
          <w:i/>
          <w:sz w:val="19"/>
        </w:rPr>
        <w:t xml:space="preserve">  |  Karl Storz  |  2012–2013</w:t>
      </w:r>
    </w:p>
    <w:p>
      <w:pPr>
        <w:spacing w:before="0" w:after="40" w:line="245" w:lineRule="auto"/>
        <w:ind w:left="0"/>
      </w:pPr>
      <w:r>
        <w:rPr>
          <w:rFonts w:ascii="Cambria" w:hAnsi="Cambria" w:eastAsia="Cambria"/>
          <w:b w:val="0"/>
          <w:i w:val="0"/>
          <w:sz w:val="19"/>
        </w:rPr>
        <w:t>Выводил на российский рынок концепцию интегрированной операционной OR1: разработал и защитил перед штаб-квартирой трёхлетний go-to-market план, сформировал воронку и первые пилоты с ключевыми клиниками.</w:t>
      </w:r>
    </w:p>
    <w:p>
      <w:pPr>
        <w:keepNext/>
        <w:spacing w:before="60" w:after="20" w:line="245" w:lineRule="auto"/>
        <w:ind w:left="0"/>
      </w:pPr>
      <w:r>
        <w:rPr>
          <w:rFonts w:ascii="Cambria" w:hAnsi="Cambria" w:eastAsia="Cambria"/>
          <w:b/>
          <w:i w:val="0"/>
          <w:sz w:val="20"/>
        </w:rPr>
        <w:t>Руководитель интернет-проектов</w:t>
      </w:r>
      <w:r>
        <w:rPr>
          <w:rFonts w:ascii="Cambria" w:hAnsi="Cambria" w:eastAsia="Cambria"/>
          <w:b w:val="0"/>
          <w:i/>
          <w:sz w:val="19"/>
        </w:rPr>
        <w:t xml:space="preserve">  |  IRSOL  |  2010–2012</w:t>
      </w:r>
    </w:p>
    <w:p>
      <w:pPr>
        <w:spacing w:before="0" w:after="40" w:line="245" w:lineRule="auto"/>
        <w:ind w:left="0"/>
      </w:pPr>
      <w:r>
        <w:rPr>
          <w:rFonts w:ascii="Cambria" w:hAnsi="Cambria" w:eastAsia="Cambria"/>
          <w:b w:val="0"/>
          <w:i w:val="0"/>
          <w:sz w:val="19"/>
        </w:rPr>
        <w:t>Управлял e-commerce-платформой; внедрил персонализацию, давшую +14% продаж. Клиентская база обеспечивала 51% оборота.</w:t>
      </w:r>
    </w:p>
    <w:p>
      <w:pPr>
        <w:keepNext/>
        <w:spacing w:before="60" w:after="20" w:line="245" w:lineRule="auto"/>
        <w:ind w:left="0"/>
      </w:pPr>
      <w:r>
        <w:rPr>
          <w:rFonts w:ascii="Cambria" w:hAnsi="Cambria" w:eastAsia="Cambria"/>
          <w:b/>
          <w:i w:val="0"/>
          <w:sz w:val="20"/>
        </w:rPr>
        <w:t>Product Specialist</w:t>
      </w:r>
      <w:r>
        <w:rPr>
          <w:rFonts w:ascii="Cambria" w:hAnsi="Cambria" w:eastAsia="Cambria"/>
          <w:b w:val="0"/>
          <w:i/>
          <w:sz w:val="19"/>
        </w:rPr>
        <w:t xml:space="preserve">  |  Medtronic  |  2006–2010</w:t>
      </w:r>
    </w:p>
    <w:p>
      <w:pPr>
        <w:spacing w:before="0" w:after="40" w:line="245" w:lineRule="auto"/>
        <w:ind w:left="0"/>
      </w:pPr>
      <w:r>
        <w:rPr>
          <w:rFonts w:ascii="Cambria" w:hAnsi="Cambria" w:eastAsia="Cambria"/>
          <w:b w:val="0"/>
          <w:i w:val="0"/>
          <w:sz w:val="19"/>
        </w:rPr>
        <w:t>Продукт и развитие B2B2C-направления хирургической навигации: поддержка продаж сложного медоборудования, обучение хирургов, работа с клиниками и закупками.</w:t>
      </w:r>
    </w:p>
    <w:p>
      <w:pPr>
        <w:keepNext/>
        <w:spacing w:before="60" w:after="20" w:line="245" w:lineRule="auto"/>
        <w:ind w:left="0"/>
      </w:pPr>
      <w:r>
        <w:rPr>
          <w:rFonts w:ascii="Cambria" w:hAnsi="Cambria" w:eastAsia="Cambria"/>
          <w:b/>
          <w:i w:val="0"/>
          <w:sz w:val="20"/>
        </w:rPr>
        <w:t>Разработчик → системный администратор → руководитель технического отдела</w:t>
      </w:r>
      <w:r>
        <w:rPr>
          <w:rFonts w:ascii="Cambria" w:hAnsi="Cambria" w:eastAsia="Cambria"/>
          <w:b w:val="0"/>
          <w:i/>
          <w:sz w:val="19"/>
        </w:rPr>
        <w:t xml:space="preserve">  |  IT-карьера  |  1999–2006</w:t>
      </w:r>
    </w:p>
    <w:p>
      <w:pPr>
        <w:spacing w:before="0" w:after="40" w:line="245" w:lineRule="auto"/>
        <w:ind w:left="0"/>
      </w:pPr>
      <w:r>
        <w:rPr>
          <w:rFonts w:ascii="Cambria" w:hAnsi="Cambria" w:eastAsia="Cambria"/>
          <w:b w:val="0"/>
          <w:i w:val="0"/>
          <w:sz w:val="19"/>
        </w:rPr>
        <w:t>Технический фундамент: архитектура, инфраструктура и разработка изнутри; последующий переход в продукт и бизнес.</w:t>
      </w:r>
    </w:p>
    <w:p>
      <w:pPr>
        <w:keepNext/>
        <w:spacing w:before="160" w:after="60" w:line="240" w:lineRule="auto"/>
        <w:ind w:left="0"/>
        <w:pBdr>
          <w:bottom w:val="single" w:sz="5" w:space="3" w:color="808080"/>
        </w:pBdr>
      </w:pPr>
      <w:r>
        <w:rPr>
          <w:rFonts w:ascii="Cambria" w:hAnsi="Cambria" w:eastAsia="Cambria"/>
          <w:b/>
          <w:i w:val="0"/>
          <w:sz w:val="27"/>
        </w:rPr>
        <w:t>Образование и инструменты</w:t>
      </w:r>
    </w:p>
    <w:p>
      <w:pPr>
        <w:spacing w:before="0" w:after="40" w:line="252" w:lineRule="auto"/>
        <w:ind w:left="0"/>
      </w:pPr>
      <w:r>
        <w:rPr>
          <w:rFonts w:ascii="Cambria" w:hAnsi="Cambria" w:eastAsia="Cambria"/>
          <w:b w:val="0"/>
          <w:i w:val="0"/>
          <w:sz w:val="20"/>
        </w:rPr>
        <w:t>МГУПИ (МГУПИУ), Автоматизированные системы обработки информации и управления, 2006. Русский — родной; English — Advanced.</w:t>
      </w:r>
    </w:p>
    <w:p>
      <w:pPr>
        <w:spacing w:before="0" w:after="0" w:line="252" w:lineRule="auto"/>
        <w:ind w:left="0"/>
      </w:pPr>
      <w:r>
        <w:rPr>
          <w:rFonts w:ascii="Cambria" w:hAnsi="Cambria" w:eastAsia="Cambria"/>
          <w:b w:val="0"/>
          <w:i w:val="0"/>
          <w:sz w:val="20"/>
        </w:rPr>
        <w:t>SQL, Python, PostgreSQL, ClickHouse, Tarantool, Apache Airflow/Spark, Power BI, Qlik, Mindbox, Bloomreach, Siebel, MDM HFLabs, Asterisk, Smart IVR, Langflow, Pinecone, REST API, Jira/Confluence.</w:t>
      </w:r>
    </w:p>
    <w:sectPr w:rsidR="00FC693F" w:rsidRPr="0006063C" w:rsidSect="00034616">
      <w:footerReference w:type="default" r:id="rId9"/>
      <w:pgSz w:w="12240" w:h="15840"/>
      <w:pgMar w:top="709" w:right="765" w:bottom="539" w:left="765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ind w:left="0"/>
      <w:jc w:val="center"/>
    </w:pPr>
    <w:r>
      <w:rPr>
        <w:rFonts w:ascii="Cambria" w:hAnsi="Cambria" w:eastAsia="Cambria"/>
        <w:b w:val="0"/>
        <w:i w:val="0"/>
        <w:color w:val="646464"/>
        <w:sz w:val="16"/>
      </w:rPr>
      <w:t xml:space="preserve">Арсений Гущин · CPO — Customer Growth, Data &amp; AI · </w:t>
    </w:r>
    <w:r>
      <w:rPr>
        <w:rFonts w:ascii="Cambria" w:hAnsi="Cambria" w:eastAsia="Cambria"/>
        <w:b w:val="0"/>
        <w:i w:val="0"/>
        <w:color w:val="646464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mbria" w:hAnsi="Cambria" w:eastAsia="Cambri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